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0"/>
        </w:tabs>
        <w:jc w:val="both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附件1              南通大学文学院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 xml:space="preserve">学术学位硕士生导师年度招生资格审核基本要求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一、近三年，以第一作者发表与本专业相关的高水平论文：一级 B 类以上研究论文不少于1篇或二级以上研究论文不少于2篇。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二、正在主持市厅级以上科研项目；或近两年内主持完成市厅级以上科研项目，且近三年内以第一作者发表一级B类研究论文不少于 2 篇；或正在主持横向科研项目（单项到账经费不少于 6 万元。自经费到账之日起两年内有效）。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  <w:t>三、可独立支配的科研经费：不少于2万元。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南通大学文学院</w:t>
      </w:r>
    </w:p>
    <w:p>
      <w:pPr>
        <w:keepNext w:val="0"/>
        <w:keepLines w:val="0"/>
        <w:widowControl/>
        <w:suppressLineNumbers w:val="0"/>
        <w:ind w:firstLine="320" w:firstLineChars="100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专业学位硕士生导师年度招生资格审核基本要求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一、近三年，发表与本专业相关的高水平论文、著作、获奖、决策咨询报告、专利等科研成果，须满足下列要求中的任意 1 点：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1.以第一作者发表与本专业相关的论文。二级以上研究论文不少于 1 篇。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2.撰写出版本专业学术著作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或教材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不少于 8 万字。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3.主持编写的教学案例被评为专业学位教指委优秀案例，或入选“中国专业学位教学案例中心案例库”。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4.获国家级教学、科研成果奖励（有证书）；或省（部）级教学、科研成果一等奖（前七名）或二等奖（前五名）或三等奖（前三名）；或市（厅）级科研成果一等奖（前三名）或二等奖（第一名）。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二、正在主持市厅级以上科研项目；或正在承担省（部）级以上科研项目（前三名）；或正在主持横向科研项目（单项到账经费不少于 6 万元。自经费到账之日起两年内有效）。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三、可独立支配的科研经费：不少于 1 万元。 </w:t>
      </w:r>
    </w:p>
    <w:p/>
    <w:sectPr>
      <w:pgSz w:w="11906" w:h="16838"/>
      <w:pgMar w:top="1240" w:right="1627" w:bottom="1098" w:left="15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71B0F"/>
    <w:rsid w:val="15613E30"/>
    <w:rsid w:val="32C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2021-03-17T01:14:00Z</dcterms:created>
  <dc:creator>zhm</dc:creator>
  <cp:lastModifiedBy>zhm</cp:lastModifiedBy>
  <dcterms:modified xsi:type="dcterms:W3CDTF">2021-03-19T08:25:15Z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